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14</w:t>
      </w:r>
    </w:p>
    <w:p>
      <w:r>
        <w:t>Bundesgericht (BGE), 2003-12-23, FR</w:t>
      </w:r>
    </w:p>
    <w:p>
      <w:r>
        <w:rPr>
          <w:b/>
        </w:rPr>
        <w:t xml:space="preserve">Quelle: </w:t>
      </w:r>
      <w:r>
        <w:t>https://mcp.opencaselaw.ch/entscheid/bge_130 II 14</w:t>
      </w:r>
    </w:p>
    <w:p>
      <w:r>
        <w:t>FR: ATF 130 II 14</w:t>
      </w:r>
    </w:p>
    <w:p>
      <w:r>
        <w:t>IT: DTF 130 II 14</w:t>
      </w:r>
    </w:p>
    <w:p>
      <w:pPr>
        <w:pStyle w:val="Heading2"/>
      </w:pPr>
      <w:r>
        <w:t>Regeste</w:t>
      </w:r>
    </w:p>
    <w:p>
      <w:r>
        <w:t>Regeste Internationale Rechtshilfe in Strafsachen; Pflicht bezüglich der Ausführung des ausländischen Ersuchens. Art. 63 IRSG; Grundsatz der Verhältnismässigkeit; Ausscheidung der beschlagnahmten Dokumente. Pflicht zu getreuer und vollständiger Ausführung des ausländischen Ersuchens (E. 4.1). Grundsatz der Verhältnismässigkeit und Ausscheidung der Unterlagen; zu befolgende Regeln in Bezug auf die Teilnahme des Inhabers und die Ausscheidung der beschlagnahmten Dokumente (E. 4.2-4.4).</w:t>
      </w:r>
    </w:p>
    <w:p>
      <w:pPr>
        <w:pStyle w:val="Heading2"/>
      </w:pPr>
      <w:r>
        <w:t>Erwägungen</w:t>
      </w:r>
    </w:p>
    <w:p>
      <w:r>
        <w:rPr>
          <w:b/>
        </w:rPr>
        <w:t>E. 4</w:t>
      </w:r>
    </w:p>
    <w:p>
      <w:r>
        <w:t>Les recourants se prévalent du principe de la proportionnalité.</w:t>
      </w:r>
    </w:p>
    <w:p>
      <w:r>
        <w:rPr>
          <w:b/>
        </w:rPr>
        <w:t>E. 4.1</w:t>
      </w:r>
    </w:p>
    <w:p>
      <w:r>
        <w:t>La demande du 17 mai 2002 tend à la remise de l'intégralité de la documentation relative aux comptes des recourants. L'autorité requérante a précisé que cette mesure devait porter sur les BGE 130 II 14 S. 16 documents d'ouverture, le relevé des opérations, le récapitulatif de toutes les opérations de virement, y compris tous les ordres donnés dans ce contexte, ainsi que tous les éléments permettant d'identifier les virements effectués. Si elle tient cette demande pour admissible et nécessaire, l'autorité d'exécution remplit fidèlement et complètement la mission qui lui est confiée. En l'occurrence, figurent au dossier de la procédure CP/414/2000 tous les documents réclamés pour ce qui concerne le compte n° z (soit les documents d'ouverture du compte, les relevés et les avis de virement, ainsi que les notes internes). Tel n'est pas le cas, en revanche, pour ce qui concerne le compte n° y. En effet, le dossier de la procédure CP/414/2000 contient uniquement les relevés des opérations effectuées sur ce compte. Il manque les documents d'ouverture, les avis de virement et les notes internes éventuelles. Ce défaut - outre qu'il a échappé tant au Juge d'instruction qu'à la Chambre d'accusation et aux recourants - a pour conséquence que la demande du 17 mai 2002 n'a pas été exécutée complètement. La transmission des seuls relevés n'est en effet que de peu d'intérêt pour l'autorité étrangère qui a besoin des avis de virement pour retracer le cheminement des fonds. Invité à s'expliquer sur ce point, le Juge d'instruction qui a repris l'affaire de son prédécesseur a émis l'hypothèse que ces documents n'auraient pas été apportés du dossier de la procédure P/16972/2000. Il s'agit là toutefois d'une hypothèse que le Tribunal fédéral n'a pas à vérifier lui-même. Les décisions des 13 janvier et 27 août 2003 doivent ainsi être annulées et l'affaire renvoyée directement au Juge d'instruction pour nouvelle décision ( art. 114 al. 2 OJ ). Après avoir complété la saisie de la documentation relative au compte n° y, il lui appartiendra de statuer à nouveau sur la transmission des deux comptes litigieux (le sort de l'un pouvant dépendre de l'autre), ainsi que sur la mesure de l'entraide à accorder. Dans l'intervalle, le séquestre du compte n° y, selon la décision du 20 janvier 2003, doit être maintenu.</w:t>
      </w:r>
    </w:p>
    <w:p>
      <w:r>
        <w:rPr>
          <w:b/>
        </w:rPr>
        <w:t>E. 4.2</w:t>
      </w:r>
    </w:p>
    <w:p>
      <w:r>
        <w:t>Il incombera ensuite au Juge d'instruction de procéder à un nouveau tri des pièces à transmettre.</w:t>
      </w:r>
    </w:p>
    <w:p>
      <w:r>
        <w:rPr>
          <w:b/>
        </w:rPr>
        <w:t>E. 4.3</w:t>
      </w:r>
    </w:p>
    <w:p>
      <w:r>
        <w:t>Lorsque, comme en l'espèce, l'autorité étrangère requiert la remise d'une documentation dont elle décrit de manière précise les éléments et que cela nécessite de procéder à une saisie dont les contours peuvent, selon les circonstances, être larges dans un premier temps, l'autorité d'exécution a le devoir de procéder au tri des documents avant d'ordonner leur remise éventuelle. Elle ne saurait BGE 130 II 14 S. 17 se défausser sur l'Etat requérant et lui remettre les pièces en vrac ( ATF 122 II 367 consid. 2c p. 371; ATF 115 Ib 186 consid. 4 p. 192/193). Pour le tri à effectuer, l'autorité d'exécution s'appuie sur le détenteur des documents. Selon l'arrêt Forus, la personne touchée par la perquisition et la saisie de documents lui appartenant est tenue, à peine de forclusion, d'indiquer à l'autorité d'exécution quels documents ne devraient pas, selon elle, être transmis et pour quels motifs ( ATF 126 II 258 consid. 9b/aa p. 260; ATF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 ATF 126 II 258 consid. 9b/aa p. 262).</w:t>
      </w:r>
    </w:p>
    <w:p>
      <w:r>
        <w:rPr>
          <w:b/>
        </w:rPr>
        <w:t>E. 4.4</w:t>
      </w:r>
    </w:p>
    <w:p>
      <w:r>
        <w:t>Il est apparu que certaines autorités d'exécution, cantonales et fédérales, combinant ces règles et le principe dit de l'"utilité potentielle" gouvernant l'examen de la proportionnalité de la mesure de contrainte (cf. ATF 121 II 241 consid. 3a p. 243), estiment que la documentation saisie peut être transmise dans son intégralité dès l'instant où elle paraît en rapport avec les faits poursuivis dans l'Etat requérant et que le détenteur n'a pas exposé de manière précise et détaillée les raisons qui s'opposent à la transmission de telle ou telle pièce. Une telle pratique, qui repose sur une lecture partielle de la jurisprudence, équivaut pratiquement à une remise en vrac de la documentation, incompatible avec le principe de la proportionnalité. Il convient de rappeler aux autorités d'exécution les étapes à suivre et les règles à observer à ce propos. Après avoir saisi les documents qu'elle juge utiles pour l'exécution de la demande, l'autorité d'exécution trie les pièces à remettre en vue du prononcé d'une décision de clôture (qui peut être partielle). Cette opération doit intervenir dans un délai assez rapproché, afin d'atténuer le dommage causé par la saisie au détenteur. La participation à cette fin du magistrat chargé de la poursuite dans l'Etat requérant, prévue par l'art. 65a de la loi fédérale du 20 mars 1981 sur l'entraide internationale en matière pénale (EIMP; RS 351.1; cf. également, en l'occurrence, l'art. VII de l'Accord avec la France BGE 130 II 14 S. 18 en vue de compléter la Convention européenne d'entraide judiciaire en matière pénale [RS 0.351.934.92]), peut représenter pour elle une aide précieuse. Lorsqu'elle accepte une demande qui lui est présentée à cette fin, l'autorité d'exécution procède au tri en présence du juge étranger et du détenteur (ou de son représentant). Un accord éventuel permet une remise facilitée au sens de l' art. 80c EIMP .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fait que d'une manière insatisfaisante ne dispense pas l'autorité d'exécution d'effectuer le tri commandé par le principe de la proportionnalité. Il conviendrait que l'Office fédéral de la justice, comme autorité de surveillance ( art. 3 OEIMP [RS 351.11]), attire l'attention des autorités d'exécution, fédérales et cantonales, sur l'observation de ces règles.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